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5518150</wp:posOffset>
            </wp:positionH>
            <wp:positionV relativeFrom="page">
              <wp:posOffset>642620</wp:posOffset>
            </wp:positionV>
            <wp:extent cx="1167130" cy="110934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Press Release</w:t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PicoQuant Combines Fluorescence Spectroscopy and Microscopy</w:t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Novel fiber coupling sample holder opens new opportunities for investigating spatial dependence of luminescence behavior</w:t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</w:r>
    </w:p>
    <w:p>
      <w:pPr>
        <w:pStyle w:val="Normal"/>
        <w:spacing w:lineRule="auto" w:line="300" w:before="0" w:after="0"/>
        <w:ind w:left="0" w:right="0" w:hanging="0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</w:r>
    </w:p>
    <w:p>
      <w:pPr>
        <w:pStyle w:val="Normal"/>
        <w:spacing w:lineRule="auto" w:line="300" w:before="0" w:after="0"/>
        <w:ind w:left="0" w:right="0" w:hanging="0"/>
        <w:jc w:val="left"/>
        <w:rPr/>
      </w:pPr>
      <w:r>
        <w:rPr>
          <w:b/>
          <w:bCs/>
          <w:sz w:val="22"/>
          <w:szCs w:val="22"/>
          <w:lang w:val="en-US"/>
        </w:rPr>
        <w:t xml:space="preserve">Berlin (Germany), </w:t>
      </w:r>
      <w:r>
        <w:rPr>
          <w:b/>
          <w:bCs/>
          <w:sz w:val="22"/>
          <w:szCs w:val="22"/>
          <w:lang w:val="en-US"/>
        </w:rPr>
        <w:t>27</w:t>
      </w:r>
      <w:r>
        <w:rPr>
          <w:b/>
          <w:bCs/>
          <w:sz w:val="22"/>
          <w:szCs w:val="22"/>
          <w:lang w:val="en-US"/>
        </w:rPr>
        <w:t xml:space="preserve"> October 2016 </w:t>
      </w:r>
      <w:r>
        <w:rPr>
          <w:b w:val="false"/>
          <w:bCs w:val="false"/>
          <w:sz w:val="22"/>
          <w:szCs w:val="22"/>
          <w:lang w:val="en-US"/>
        </w:rPr>
        <w:t>– PicoQuant has released a new fiber coupling sample holder for the modular time-resolved spectrometer FluoTime 300.</w:t>
      </w:r>
      <w:r>
        <w:rPr>
          <w:b w:val="false"/>
          <w:bCs w:val="false"/>
          <w:sz w:val="22"/>
          <w:szCs w:val="22"/>
          <w:lang w:val="en-US"/>
        </w:rPr>
        <w:t xml:space="preserve"> This holder makes it possible to interface the system with a microscope such as the MicroTime 100. This set-up easily allows users to record time- and space-resolved emission spectra from any sample mounted in the microscope.</w:t>
      </w:r>
    </w:p>
    <w:p>
      <w:pPr>
        <w:pStyle w:val="Normal"/>
        <w:spacing w:lineRule="auto" w:line="30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00" w:before="0" w:after="0"/>
        <w:ind w:left="0" w:right="0" w:hanging="0"/>
        <w:jc w:val="both"/>
        <w:rPr>
          <w:rFonts w:ascii="Arial" w:hAnsi="Arial"/>
          <w:sz w:val="22"/>
          <w:szCs w:val="22"/>
          <w:lang w:val="en-US"/>
        </w:rPr>
      </w:pPr>
      <w:r>
        <w:rPr>
          <w:b w:val="false"/>
          <w:bCs w:val="false"/>
          <w:color w:val="000000"/>
          <w:sz w:val="22"/>
          <w:szCs w:val="22"/>
          <w:u w:val="none"/>
          <w:lang w:val="en-US" w:eastAsia="de-DE" w:bidi="zxx"/>
        </w:rPr>
        <w:t>Time-resolved fluorescence spectroscopy is a spectroscopist's most valuable tool for the investigation of excited state dynamics in molecules, complexes, or semi-conductors. Expanding the capabilities of a spectrometer with a microscope's ability to probe and scan small areas provides exciting opportunities for investigating the spatial dependence of luminescence behavior in a large variety of samples. As an example, this combination allows localizing and characterizing structural defects in semi-conductor materials such as Copper Indium Gallium (di)Selenide (CIGS) used in solar cell research.</w:t>
      </w:r>
    </w:p>
    <w:p>
      <w:pPr>
        <w:pStyle w:val="Normal"/>
        <w:spacing w:lineRule="auto" w:line="300" w:before="0" w:after="0"/>
        <w:ind w:left="0" w:right="0" w:hanging="0"/>
        <w:jc w:val="both"/>
        <w:rPr>
          <w:rFonts w:eastAsia="Arial"/>
          <w:b w:val="false"/>
          <w:b w:val="false"/>
          <w:bCs w:val="false"/>
          <w:color w:val="000000"/>
          <w:u w:val="none"/>
          <w:lang w:eastAsia="de-DE" w:bidi="zxx"/>
        </w:rPr>
      </w:pPr>
      <w:r>
        <w:rPr>
          <w:rFonts w:eastAsia="Arial"/>
          <w:b w:val="false"/>
          <w:bCs w:val="false"/>
          <w:color w:val="000000"/>
          <w:u w:val="none"/>
          <w:lang w:eastAsia="de-DE" w:bidi="zxx"/>
        </w:rPr>
      </w:r>
    </w:p>
    <w:p>
      <w:pPr>
        <w:pStyle w:val="Normal"/>
        <w:spacing w:lineRule="auto" w:line="300" w:before="0" w:after="0"/>
        <w:ind w:left="0" w:right="0" w:hanging="0"/>
        <w:jc w:val="both"/>
        <w:rPr/>
      </w:pPr>
      <w:r>
        <w:rPr>
          <w:rFonts w:eastAsia="Arial"/>
          <w:b w:val="false"/>
          <w:bCs w:val="false"/>
          <w:color w:val="00000A"/>
          <w:sz w:val="22"/>
          <w:szCs w:val="22"/>
          <w:u w:val="none"/>
          <w:lang w:val="en-US" w:eastAsia="de-DE" w:bidi="zxx"/>
        </w:rPr>
        <w:t xml:space="preserve">Such an instrument combination is of great value for analytical facilities in research centers, as it offers an expanded range of possible spectroscopic and microscopic applications in a single, easy to use set-up. When equipped with hybrid detectors, versatile TCSPC cards with optional longer time ranges, and pulsed lasers capable of working in burst mode, the set-up  offers a combined solution covering most of the demands of either high time, spectral, or spatial resolution in the fields of </w:t>
      </w:r>
      <w:r>
        <w:rPr>
          <w:rFonts w:eastAsia="Arial"/>
          <w:b w:val="false"/>
          <w:bCs w:val="false"/>
          <w:color w:val="000000"/>
          <w:sz w:val="22"/>
          <w:szCs w:val="22"/>
          <w:u w:val="none"/>
          <w:lang w:val="en-US" w:eastAsia="de-DE" w:bidi="zxx"/>
        </w:rPr>
        <w:t>Chemistry, Biology, Physics, as well as in Life, Material or Environmental Sciences</w:t>
      </w:r>
      <w:r>
        <w:rPr>
          <w:rFonts w:eastAsia="Arial"/>
          <w:b w:val="false"/>
          <w:bCs w:val="false"/>
          <w:color w:val="00000A"/>
          <w:sz w:val="22"/>
          <w:szCs w:val="22"/>
          <w:u w:val="none"/>
          <w:lang w:val="en-US" w:eastAsia="de-DE" w:bidi="zxx"/>
        </w:rPr>
        <w:t>.</w:t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5518150</wp:posOffset>
            </wp:positionH>
            <wp:positionV relativeFrom="page">
              <wp:posOffset>642620</wp:posOffset>
            </wp:positionV>
            <wp:extent cx="1167130" cy="1109345"/>
            <wp:effectExtent l="0" t="0" r="0" b="0"/>
            <wp:wrapTopAndBottom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suppressAutoHyphens w:val="false"/>
        <w:spacing w:lineRule="auto" w:line="300" w:before="0" w:after="0"/>
        <w:ind w:left="0" w:right="0" w:hanging="0"/>
        <w:jc w:val="left"/>
        <w:rPr>
          <w:rFonts w:ascii="Arial" w:hAnsi="Arial"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t>About PicoQuant</w:t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PicoQuant is a research and development company in the field of optoelectronics. The company was founded in 1996 and is based in the science and technology park Berlin-Adlershof, Germany. The company is a worldwide leader in the field of single photon counting applications. The product line includes pulsed diode lasers and LEDs, photon counting instrumentation, fluorescence lifetime spectrometers and time-resolved confocal microscopes. PicoQuant employs currently around 60 people. Since April 2008 Sales and Support in North America is handled by PicoQuant Photonics North America Inc. </w:t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</w:r>
    </w:p>
    <w:p>
      <w:pPr>
        <w:pStyle w:val="Normal"/>
        <w:spacing w:before="0" w:after="0"/>
        <w:ind w:left="0" w:right="0" w:hanging="0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Attachment</w:t>
      </w:r>
    </w:p>
    <w:p>
      <w:pPr>
        <w:pStyle w:val="Normal"/>
        <w:spacing w:before="0" w:after="0"/>
        <w:ind w:left="0" w:right="0" w:hanging="0"/>
        <w:rPr/>
      </w:pPr>
      <w:r>
        <w:rPr>
          <w:b w:val="false"/>
          <w:bCs w:val="false"/>
          <w:sz w:val="22"/>
          <w:szCs w:val="22"/>
          <w:lang w:val="en-US"/>
        </w:rPr>
        <w:t>Picture of the new fiber coupling sample holder</w:t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>Caption: The new fiber coupling sample holder allows interfacing time-resolved microscopes to the FluoTime 300 fluorescence spectrometer.</w:t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</w:r>
    </w:p>
    <w:p>
      <w:pPr>
        <w:pStyle w:val="Normal"/>
        <w:spacing w:before="0" w:after="0"/>
        <w:ind w:left="0" w:right="0" w:hanging="0"/>
        <w:rPr>
          <w:rFonts w:ascii="Arial" w:hAnsi="Arial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Contact</w:t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>Nicole Saritas</w:t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>Marketing</w:t>
      </w:r>
    </w:p>
    <w:p>
      <w:pPr>
        <w:pStyle w:val="Normal"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>Tel.: +49-30-6392-6929</w:t>
      </w:r>
    </w:p>
    <w:p>
      <w:pPr>
        <w:pStyle w:val="Normal"/>
        <w:spacing w:before="0" w:after="0"/>
        <w:ind w:left="0" w:right="0" w:hanging="0"/>
        <w:rPr/>
      </w:pPr>
      <w:hyperlink r:id="rId4">
        <w:r>
          <w:rPr>
            <w:rStyle w:val="Internetlink"/>
            <w:sz w:val="22"/>
            <w:szCs w:val="22"/>
            <w:lang w:val="en-US"/>
          </w:rPr>
          <w:t>mkt@picoquant.com</w:t>
        </w:r>
      </w:hyperlink>
    </w:p>
    <w:p>
      <w:pPr>
        <w:pStyle w:val="Normal"/>
        <w:spacing w:before="0" w:after="0"/>
        <w:ind w:left="0" w:right="0" w:hanging="0"/>
        <w:rPr/>
      </w:pPr>
      <w:r>
        <w:rPr>
          <w:sz w:val="22"/>
          <w:szCs w:val="22"/>
          <w:lang w:val="en-US"/>
        </w:rPr>
        <w:t>www.picoquant.com</w:t>
      </w:r>
    </w:p>
    <w:sectPr>
      <w:type w:val="nextPage"/>
      <w:pgSz w:w="11906" w:h="16838"/>
      <w:pgMar w:left="1361" w:right="1361" w:header="0" w:top="1600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Tahoma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Lucida Sans Unicode" w:cs="Tahoma"/>
      <w:color w:val="00000A"/>
      <w:sz w:val="24"/>
      <w:szCs w:val="24"/>
      <w:lang w:val="en-US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ascii="Arial" w:hAnsi="Arial" w:cs="Tahoma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Tahoma"/>
    </w:rPr>
  </w:style>
  <w:style w:type="paragraph" w:styleId="Kopfzeile">
    <w:name w:val="Kopf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 Inhalt"/>
    <w:basedOn w:val="Textkrp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kt@picoquant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Application>LibreOffice/5.0.5.2$Windows_X86_64 LibreOffice_project/55b006a02d247b5f7215fc6ea0fde844b30035b3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2016-10-06T15:15:21Z</dcterms:created>
  <dc:creator>André Devaux</dc:creator>
  <dc:language>de-DE</dc:language>
  <cp:lastModifiedBy>Nicole Saritas</cp:lastModifiedBy>
  <dcterms:modified xsi:type="dcterms:W3CDTF">2016-10-27T11:26:34Z</dcterms:modified>
  <cp:revision>17</cp:revision>
</cp:coreProperties>
</file>